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19" w:rsidRDefault="00642F19" w:rsidP="00642F1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2F19" w:rsidRDefault="00642F19" w:rsidP="00642F19">
      <w:pPr>
        <w:pStyle w:val="ConsPlusNormal"/>
        <w:jc w:val="both"/>
        <w:outlineLvl w:val="0"/>
      </w:pPr>
    </w:p>
    <w:p w:rsidR="00642F19" w:rsidRDefault="00642F19" w:rsidP="00642F19">
      <w:pPr>
        <w:pStyle w:val="ConsPlusNormal"/>
        <w:outlineLvl w:val="0"/>
      </w:pPr>
      <w:r>
        <w:t>Зарегистрировано в Минюсте России 8 декабря 2015 г. N 40000</w:t>
      </w:r>
    </w:p>
    <w:p w:rsidR="00642F19" w:rsidRDefault="00642F19" w:rsidP="00642F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42F19" w:rsidRDefault="00642F19" w:rsidP="00642F19">
      <w:pPr>
        <w:pStyle w:val="ConsPlusTitle"/>
        <w:jc w:val="center"/>
      </w:pPr>
    </w:p>
    <w:p w:rsidR="00642F19" w:rsidRDefault="00642F19" w:rsidP="00642F19">
      <w:pPr>
        <w:pStyle w:val="ConsPlusTitle"/>
        <w:jc w:val="center"/>
      </w:pPr>
      <w:r>
        <w:t>ПРИКАЗ</w:t>
      </w:r>
    </w:p>
    <w:p w:rsidR="00642F19" w:rsidRDefault="00642F19" w:rsidP="00642F19">
      <w:pPr>
        <w:pStyle w:val="ConsPlusTitle"/>
        <w:jc w:val="center"/>
      </w:pPr>
      <w:proofErr w:type="gramStart"/>
      <w:r>
        <w:t>от</w:t>
      </w:r>
      <w:proofErr w:type="gramEnd"/>
      <w:r>
        <w:t xml:space="preserve"> 9 ноября 2015 г. N 1309</w:t>
      </w:r>
    </w:p>
    <w:p w:rsidR="00642F19" w:rsidRDefault="00642F19" w:rsidP="00642F19">
      <w:pPr>
        <w:pStyle w:val="ConsPlusTitle"/>
        <w:jc w:val="center"/>
      </w:pPr>
    </w:p>
    <w:p w:rsidR="00642F19" w:rsidRDefault="00642F19" w:rsidP="00642F19">
      <w:pPr>
        <w:pStyle w:val="ConsPlusTitle"/>
        <w:jc w:val="center"/>
      </w:pPr>
      <w:r>
        <w:t>ОБ УТВЕРЖДЕНИИ ПОРЯДКА</w:t>
      </w:r>
    </w:p>
    <w:p w:rsidR="00642F19" w:rsidRDefault="00642F19" w:rsidP="00642F19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642F19" w:rsidRDefault="00642F19" w:rsidP="00642F19">
      <w:pPr>
        <w:pStyle w:val="ConsPlusTitle"/>
        <w:jc w:val="center"/>
      </w:pPr>
      <w:r>
        <w:t>И ПРЕДОСТАВЛЯЕМЫХ УСЛУГ В СФЕРЕ ОБРАЗОВАНИЯ, А ТАКЖЕ</w:t>
      </w:r>
    </w:p>
    <w:p w:rsidR="00642F19" w:rsidRDefault="00642F19" w:rsidP="00642F19">
      <w:pPr>
        <w:pStyle w:val="ConsPlusTitle"/>
        <w:jc w:val="center"/>
      </w:pPr>
      <w:r>
        <w:t>ОКАЗАНИЯ ИМ ПРИ ЭТОМ НЕОБХОДИМОЙ ПОМОЩИ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ind w:firstLine="540"/>
        <w:jc w:val="both"/>
      </w:pPr>
      <w:r>
        <w:t xml:space="preserve">В соответствии с </w:t>
      </w:r>
      <w:r>
        <w:fldChar w:fldCharType="begin"/>
      </w:r>
      <w:r>
        <w:instrText xml:space="preserve">HYPERLINK consultantplus://offline/ref=A5E64AE0D9462827FAB1C789C5E261E5C2CCA5B54B72E884EB16F91C9AA2122E86EEFFb9B2L </w:instrText>
      </w:r>
      <w:r>
        <w:fldChar w:fldCharType="separate"/>
      </w:r>
      <w:r>
        <w:rPr>
          <w:color w:val="0000FF"/>
        </w:rPr>
        <w:t>подпунктом 5.2.73(13)</w:t>
      </w:r>
      <w:r>
        <w:fldChar w:fldCharType="end"/>
      </w:r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приказываю: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прилагаемый </w:t>
      </w:r>
      <w:r>
        <w:fldChar w:fldCharType="begin"/>
      </w:r>
      <w:r>
        <w:instrText xml:space="preserve">HYPERLINK \l Par32 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642F19" w:rsidRDefault="00642F19" w:rsidP="00642F19">
      <w:pPr>
        <w:pStyle w:val="ConsPlusNormal"/>
        <w:ind w:firstLine="540"/>
        <w:jc w:val="both"/>
      </w:pPr>
      <w:r>
        <w:t>2. Настоящий приказ вступает в силу с 1 января 2016 года.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right"/>
      </w:pPr>
      <w:r>
        <w:t>Министр</w:t>
      </w:r>
    </w:p>
    <w:p w:rsidR="00642F19" w:rsidRDefault="00642F19" w:rsidP="00642F19">
      <w:pPr>
        <w:pStyle w:val="ConsPlusNormal"/>
        <w:jc w:val="right"/>
      </w:pPr>
      <w:r>
        <w:t>Д.В.ЛИВАНОВ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right"/>
        <w:outlineLvl w:val="0"/>
      </w:pPr>
      <w:r>
        <w:t>Приложение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right"/>
      </w:pPr>
      <w:r>
        <w:t>Утвержден</w:t>
      </w:r>
    </w:p>
    <w:p w:rsidR="00642F19" w:rsidRDefault="00642F19" w:rsidP="00642F19">
      <w:pPr>
        <w:pStyle w:val="ConsPlusNormal"/>
        <w:jc w:val="right"/>
      </w:pPr>
      <w:proofErr w:type="gramStart"/>
      <w:r>
        <w:t>приказом</w:t>
      </w:r>
      <w:proofErr w:type="gramEnd"/>
      <w:r>
        <w:t xml:space="preserve"> Министерства образования</w:t>
      </w:r>
    </w:p>
    <w:p w:rsidR="00642F19" w:rsidRDefault="00642F19" w:rsidP="00642F19">
      <w:pPr>
        <w:pStyle w:val="ConsPlusNormal"/>
        <w:jc w:val="right"/>
      </w:pPr>
      <w:proofErr w:type="gramStart"/>
      <w:r>
        <w:t>и</w:t>
      </w:r>
      <w:proofErr w:type="gramEnd"/>
      <w:r>
        <w:t xml:space="preserve"> науки Российской Федерации</w:t>
      </w:r>
    </w:p>
    <w:p w:rsidR="00642F19" w:rsidRDefault="00642F19" w:rsidP="00642F19">
      <w:pPr>
        <w:pStyle w:val="ConsPlusNormal"/>
        <w:jc w:val="right"/>
      </w:pPr>
      <w:proofErr w:type="gramStart"/>
      <w:r>
        <w:t>от</w:t>
      </w:r>
      <w:proofErr w:type="gramEnd"/>
      <w:r>
        <w:t xml:space="preserve"> 9 ноября 2015 г. N 1309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Title"/>
        <w:jc w:val="center"/>
      </w:pPr>
      <w:bookmarkStart w:id="0" w:name="Par32"/>
      <w:bookmarkEnd w:id="0"/>
      <w:r>
        <w:t>ПОРЯДОК</w:t>
      </w:r>
    </w:p>
    <w:p w:rsidR="00642F19" w:rsidRDefault="00642F19" w:rsidP="00642F19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642F19" w:rsidRDefault="00642F19" w:rsidP="00642F19">
      <w:pPr>
        <w:pStyle w:val="ConsPlusTitle"/>
        <w:jc w:val="center"/>
      </w:pPr>
      <w:r>
        <w:t>И ПРЕДОСТАВЛЯЕМЫХ УСЛУГ В СФЕРЕ ОБРАЗОВАНИЯ, А ТАКЖЕ</w:t>
      </w:r>
    </w:p>
    <w:p w:rsidR="00642F19" w:rsidRDefault="00642F19" w:rsidP="00642F19">
      <w:pPr>
        <w:pStyle w:val="ConsPlusTitle"/>
        <w:jc w:val="center"/>
      </w:pPr>
      <w:r>
        <w:t>ОКАЗАНИЯ ИМ ПРИ ЭТОМ НЕОБХОДИМОЙ ПОМОЩИ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ind w:firstLine="540"/>
        <w:jc w:val="both"/>
      </w:pPr>
      <w:r>
        <w:t xml:space="preserve"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 (далее - организации); услуг в сфере образования, предоставляемых органами и организациями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6952, ст. 6961, ст. 7009; 2014, N 26, ст. 3366; N 30, ст. 4264; 2015, N 1, ст. 67, ст. 72; 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642F19" w:rsidRDefault="00642F19" w:rsidP="00642F19">
      <w:pPr>
        <w:pStyle w:val="ConsPlusNormal"/>
        <w:ind w:firstLine="540"/>
        <w:jc w:val="both"/>
      </w:pPr>
      <w:r>
        <w:lastRenderedPageBreak/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642F19" w:rsidRDefault="00642F19" w:rsidP="00642F19">
      <w:pPr>
        <w:pStyle w:val="ConsPlusNormal"/>
        <w:ind w:firstLine="540"/>
        <w:jc w:val="both"/>
      </w:pPr>
      <w: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возможность беспрепятственного входа в объекты и выхода из них;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6" w:history="1">
        <w:r>
          <w:rPr>
            <w:color w:val="0000FF"/>
          </w:rPr>
          <w:t>форме</w:t>
        </w:r>
      </w:hyperlink>
      <w:r>
        <w:t xml:space="preserve"> и в </w:t>
      </w:r>
      <w:hyperlink r:id="rId7" w:history="1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</w:p>
    <w:p w:rsidR="00642F19" w:rsidRDefault="00642F19" w:rsidP="00642F19">
      <w:pPr>
        <w:pStyle w:val="ConsPlusNormal"/>
        <w:ind w:firstLine="540"/>
        <w:jc w:val="both"/>
      </w:pPr>
      <w: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тифлопереводчика</w:t>
      </w:r>
      <w:proofErr w:type="spellEnd"/>
      <w:r>
        <w:t>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 xml:space="preserve">) обеспечение предоставления услуг </w:t>
      </w:r>
      <w:proofErr w:type="spellStart"/>
      <w:r>
        <w:t>тьютора</w:t>
      </w:r>
      <w:proofErr w:type="spellEnd"/>
      <w: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>) условия доступности услуг в сфере образования для инвалидов, предусмотренные:</w:t>
      </w:r>
    </w:p>
    <w:p w:rsidR="00642F19" w:rsidRDefault="00642F19" w:rsidP="00642F19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от 22 января 2014 г. N 31 (зарегистрирован Министерством юстиции Российской Федерации 7 марта 2014 г., регистрационный N 31539) и от 15 декабря 2014 г. N 1580 (зарегистрирован Министерством юстиции Российской Федерации 15 января 2015 г., регистрационный N 35545);</w:t>
      </w:r>
    </w:p>
    <w:p w:rsidR="00642F19" w:rsidRDefault="00642F19" w:rsidP="00642F19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p w:rsidR="00642F19" w:rsidRDefault="00642F19" w:rsidP="00642F19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p w:rsidR="00642F19" w:rsidRDefault="00642F19" w:rsidP="00642F19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 2013 г.,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июля 2015 г. N 734 (зарегистрирован Министерством юстиции Российской Федерации 13 августа 2015 г., регистрационный N 38490);</w:t>
      </w:r>
    </w:p>
    <w:p w:rsidR="00642F19" w:rsidRDefault="00642F19" w:rsidP="00642F19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 7 (зарегистрирован Министерством юстиции Российской Федерации 11 февраля 2015 г., регистрационный N 35965).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 </w:t>
      </w:r>
      <w:hyperlink r:id="rId13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3967), а также норм и правил, предусмотренных </w:t>
      </w:r>
      <w:hyperlink r:id="rId14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2015, N 2, ст. 465).</w:t>
      </w:r>
    </w:p>
    <w:p w:rsidR="00642F19" w:rsidRDefault="00642F19" w:rsidP="00642F19">
      <w:pPr>
        <w:pStyle w:val="ConsPlusNormal"/>
        <w:ind w:firstLine="540"/>
        <w:jc w:val="both"/>
      </w:pPr>
      <w:r>
        <w:t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</w:t>
      </w:r>
      <w:hyperlink r:id="rId15" w:history="1">
        <w:r>
          <w:rPr>
            <w:color w:val="0000FF"/>
          </w:rPr>
          <w:t>паспорт</w:t>
        </w:r>
      </w:hyperlink>
      <w:r>
        <w:t xml:space="preserve"> доступности для инвалидов объекта и услуг (далее соответственно - обследование и паспортизация, Паспорт доступности).</w:t>
      </w:r>
    </w:p>
    <w:p w:rsidR="00642F19" w:rsidRDefault="00642F19" w:rsidP="00642F19">
      <w:pPr>
        <w:pStyle w:val="ConsPlusNormal"/>
        <w:ind w:firstLine="540"/>
        <w:jc w:val="both"/>
      </w:pPr>
      <w:r>
        <w:t>8. Паспорт доступности содержит следующие разделы: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краткая характеристика объекта и предоставляемых на нем услуг;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ar72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lastRenderedPageBreak/>
        <w:t>в</w:t>
      </w:r>
      <w:proofErr w:type="gramEnd"/>
      <w:r>
        <w:t xml:space="preserve">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ar89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642F19" w:rsidRDefault="00642F19" w:rsidP="00642F19">
      <w:pPr>
        <w:pStyle w:val="ConsPlusNormal"/>
        <w:ind w:firstLine="540"/>
        <w:jc w:val="both"/>
      </w:pPr>
      <w: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642F19" w:rsidRDefault="00642F19" w:rsidP="00642F19">
      <w:pPr>
        <w:pStyle w:val="ConsPlusNormal"/>
        <w:ind w:firstLine="540"/>
        <w:jc w:val="both"/>
      </w:pPr>
      <w: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642F19" w:rsidRDefault="00642F19" w:rsidP="00642F19">
      <w:pPr>
        <w:pStyle w:val="ConsPlusNormal"/>
        <w:ind w:firstLine="540"/>
        <w:jc w:val="both"/>
      </w:pPr>
      <w:bookmarkStart w:id="1" w:name="Par72"/>
      <w:bookmarkEnd w:id="1"/>
      <w: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выделенные</w:t>
      </w:r>
      <w:proofErr w:type="gramEnd"/>
      <w:r>
        <w:t xml:space="preserve"> стоянки автотранспортных средств для инвалидов;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сменные</w:t>
      </w:r>
      <w:proofErr w:type="gramEnd"/>
      <w:r>
        <w:t xml:space="preserve"> кресла-коляски;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адаптированные</w:t>
      </w:r>
      <w:proofErr w:type="gramEnd"/>
      <w:r>
        <w:t xml:space="preserve"> лифты;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поручни</w:t>
      </w:r>
      <w:proofErr w:type="gramEnd"/>
      <w:r>
        <w:t>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пандусы</w:t>
      </w:r>
      <w:proofErr w:type="gramEnd"/>
      <w:r>
        <w:t>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подъемные</w:t>
      </w:r>
      <w:proofErr w:type="gramEnd"/>
      <w:r>
        <w:t xml:space="preserve"> платформы (аппарели);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раздвижные</w:t>
      </w:r>
      <w:proofErr w:type="gramEnd"/>
      <w:r>
        <w:t xml:space="preserve"> двери;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доступные</w:t>
      </w:r>
      <w:proofErr w:type="gramEnd"/>
      <w:r>
        <w:t xml:space="preserve"> входные группы;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доступные</w:t>
      </w:r>
      <w:proofErr w:type="gramEnd"/>
      <w:r>
        <w:t xml:space="preserve"> санитарно-гигиенические помещения;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достаточная</w:t>
      </w:r>
      <w:proofErr w:type="gramEnd"/>
      <w:r>
        <w:t xml:space="preserve">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642F19" w:rsidRDefault="00642F19" w:rsidP="00642F19">
      <w:pPr>
        <w:pStyle w:val="ConsPlusNormal"/>
        <w:ind w:firstLine="540"/>
        <w:jc w:val="both"/>
      </w:pPr>
      <w:bookmarkStart w:id="2" w:name="Par89"/>
      <w:bookmarkEnd w:id="2"/>
      <w: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удельный вес услуг в сфере образования, предоставляемых с использованием русского жестового языка, допуском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, от общего количества предоставляемых услуг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lastRenderedPageBreak/>
        <w:t>в</w:t>
      </w:r>
      <w:proofErr w:type="gramEnd"/>
      <w:r>
        <w:t>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 xml:space="preserve">) удельный вес услуг в сфере образования, предоставляемых инвалидам с сопровождением </w:t>
      </w:r>
      <w:proofErr w:type="spellStart"/>
      <w:r>
        <w:t>тьютора</w:t>
      </w:r>
      <w:proofErr w:type="spellEnd"/>
      <w:r>
        <w:t>, от общего количества предоставляемых услуг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>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к</w:t>
      </w:r>
      <w:proofErr w:type="gramEnd"/>
      <w:r>
        <w:t>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16" w:history="1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(Собрание законодательства Российской Федерации, 2013, N 6, ст. 468) предложения по принятию управленческих решений, в том числе: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17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по</w:t>
      </w:r>
      <w:proofErr w:type="gramEnd"/>
      <w:r>
        <w:t xml:space="preserve">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по</w:t>
      </w:r>
      <w:proofErr w:type="gramEnd"/>
      <w:r>
        <w:t xml:space="preserve">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14. </w:t>
      </w:r>
      <w:r>
        <w:fldChar w:fldCharType="begin"/>
      </w:r>
      <w:r>
        <w:instrText xml:space="preserve">HYPERLINK consultantplus://offline/ref=A5E64AE0D9462827FAB1C789C5E261E5C1C5A2B34B75E884EB16F91C9AA2122E86EEFF917C64F2D1b4BEL </w:instrText>
      </w:r>
      <w:r>
        <w:fldChar w:fldCharType="separate"/>
      </w:r>
      <w:r>
        <w:rPr>
          <w:color w:val="0000FF"/>
        </w:rPr>
        <w:t>Паспорт</w:t>
      </w:r>
      <w:r>
        <w:fldChar w:fldCharType="end"/>
      </w:r>
      <w:r>
        <w:t xml:space="preserve">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муниципальными</w:t>
      </w:r>
      <w:proofErr w:type="gramEnd"/>
      <w:r>
        <w:t xml:space="preserve"> организациями - в орган местного самоуправления, на территории которого ими осуществляется деятельность;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государственными</w:t>
      </w:r>
      <w:proofErr w:type="gramEnd"/>
      <w:r>
        <w:t xml:space="preserve">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федеральными</w:t>
      </w:r>
      <w:proofErr w:type="gramEnd"/>
      <w:r>
        <w:t xml:space="preserve">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642F19" w:rsidRDefault="00642F19" w:rsidP="00642F19">
      <w:pPr>
        <w:pStyle w:val="ConsPlusNormal"/>
        <w:ind w:firstLine="540"/>
        <w:jc w:val="both"/>
      </w:pPr>
      <w:r>
        <w:t>Паспорт доступности органа утверждается руководителем органа.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</w:t>
      </w:r>
      <w:r>
        <w:lastRenderedPageBreak/>
        <w:t xml:space="preserve">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18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3967).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16. Органы и организации, предоставляющие услуги в сфере образования, с использованием показателей, предусмотренных </w:t>
      </w:r>
      <w:hyperlink w:anchor="Par72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ar89" w:history="1">
        <w:r>
          <w:rPr>
            <w:color w:val="0000FF"/>
          </w:rPr>
          <w:t>12</w:t>
        </w:r>
      </w:hyperlink>
      <w: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642F19" w:rsidRDefault="00642F19" w:rsidP="00642F19">
      <w:pPr>
        <w:pStyle w:val="ConsPlusNormal"/>
        <w:ind w:firstLine="540"/>
        <w:jc w:val="both"/>
      </w:pPr>
      <w: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F58" w:rsidRDefault="00F26F58">
      <w:bookmarkStart w:id="3" w:name="_GoBack"/>
      <w:bookmarkEnd w:id="3"/>
    </w:p>
    <w:sectPr w:rsidR="00F26F58" w:rsidSect="00DA5ED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05"/>
    <w:rsid w:val="003B0E05"/>
    <w:rsid w:val="00642F19"/>
    <w:rsid w:val="00F2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7ED12-DE62-45A7-8CEA-72B345C1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642F1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E64AE0D9462827FAB1C789C5E261E5C1CBA0B74873E884EB16F91C9AA2122E86EEFF917C64F3D6b4BBL" TargetMode="External"/><Relationship Id="rId13" Type="http://schemas.openxmlformats.org/officeDocument/2006/relationships/hyperlink" Target="consultantplus://offline/ref=A5E64AE0D9462827FAB1C789C5E261E5C1C4A5B04776E884EB16F91C9AA2122E86EEFF927Ab6B6L" TargetMode="External"/><Relationship Id="rId18" Type="http://schemas.openxmlformats.org/officeDocument/2006/relationships/hyperlink" Target="consultantplus://offline/ref=A5E64AE0D9462827FAB1C789C5E261E5C1C4A5B04776E884EB16F91C9AA2122E86EEFF927Ab6B0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5E64AE0D9462827FAB1C789C5E261E5C1C4A7B24777E884EB16F91C9AA2122E86EEFF917C64F2D7b4B0L" TargetMode="External"/><Relationship Id="rId12" Type="http://schemas.openxmlformats.org/officeDocument/2006/relationships/hyperlink" Target="consultantplus://offline/ref=A5E64AE0D9462827FAB1C789C5E261E5C1CBA1B54873E884EB16F91C9AA2122E86EEFF917C64F0D5b4BDL" TargetMode="External"/><Relationship Id="rId17" Type="http://schemas.openxmlformats.org/officeDocument/2006/relationships/hyperlink" Target="consultantplus://offline/ref=A5E64AE0D9462827FAB1C789C5E261E5C1C4A5B04776E884EB16F91C9AA2122E86EEFF927Ab6B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E64AE0D9462827FAB1C286C6E261E5C3CBA1B74F7AB58EE34FF51Eb9BD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E64AE0D9462827FAB1C789C5E261E5C1C4A7B24777E884EB16F91C9AA2122E86EEFF917C64F2D5b4BAL" TargetMode="External"/><Relationship Id="rId11" Type="http://schemas.openxmlformats.org/officeDocument/2006/relationships/hyperlink" Target="consultantplus://offline/ref=A5E64AE0D9462827FAB1C789C5E261E5C1C4A0B34676E884EB16F91C9AA2122E86EEFF94b7BCL" TargetMode="External"/><Relationship Id="rId5" Type="http://schemas.openxmlformats.org/officeDocument/2006/relationships/hyperlink" Target="consultantplus://offline/ref=A5E64AE0D9462827FAB1C789C5E261E5C2CCA5B74A77E884EB16F91C9AbAB2L" TargetMode="External"/><Relationship Id="rId15" Type="http://schemas.openxmlformats.org/officeDocument/2006/relationships/hyperlink" Target="consultantplus://offline/ref=A5E64AE0D9462827FAB1C789C5E261E5C1C5A2B34B75E884EB16F91C9AA2122E86EEFF917C64F2D1b4BEL" TargetMode="External"/><Relationship Id="rId10" Type="http://schemas.openxmlformats.org/officeDocument/2006/relationships/hyperlink" Target="consultantplus://offline/ref=A5E64AE0D9462827FAB1C789C5E261E5C1C9A6B04776E884EB16F91C9AA2122E86EEFF917C64F2D2b4BEL" TargetMode="External"/><Relationship Id="rId19" Type="http://schemas.openxmlformats.org/officeDocument/2006/relationships/hyperlink" Target="consultantplus://offline/ref=A5E64AE0D9462827FAB1C789C5E261E5C1C4A5B54B78E884EB16F91C9AA2122E86EEFF917C64F2D5b4BA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5E64AE0D9462827FAB1C789C5E261E5C1C9A1B64679E884EB16F91C9AA2122E86EEFF917C64F2D3b4BDL" TargetMode="External"/><Relationship Id="rId14" Type="http://schemas.openxmlformats.org/officeDocument/2006/relationships/hyperlink" Target="consultantplus://offline/ref=A5E64AE0D9462827FAB1C789C5E261E5C1C4A3B14674E884EB16F91C9AA2122E86EEFF917C64F2DDb4B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4032</Words>
  <Characters>22987</Characters>
  <Application>Microsoft Office Word</Application>
  <DocSecurity>0</DocSecurity>
  <Lines>191</Lines>
  <Paragraphs>53</Paragraphs>
  <ScaleCrop>false</ScaleCrop>
  <Company/>
  <LinksUpToDate>false</LinksUpToDate>
  <CharactersWithSpaces>26966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Савина Анна Владимировна</cp:lastModifiedBy>
  <cp:revision>2</cp:revision>
  <dcterms:created xsi:type="dcterms:W3CDTF">2016-08-24T11:01:00Z</dcterms:created>
  <dcterms:modified xsi:type="dcterms:W3CDTF">2016-08-24T11:02:00Z</dcterms:modified>
</cp:coreProperties>
</file>