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652AE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E652AE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 w:rsidRPr="00E652AE">
        <w:rPr>
          <w:rFonts w:ascii="Tahoma" w:hAnsi="Tahoma" w:cs="Tahoma"/>
          <w:sz w:val="20"/>
          <w:szCs w:val="20"/>
        </w:rPr>
        <w:br/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МИНИСТЕРСТВО ОБРАЗОВАНИЯ И НАУКИ 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ПРИКАЗ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E652AE">
        <w:rPr>
          <w:rFonts w:ascii="Arial" w:hAnsi="Arial" w:cs="Arial"/>
          <w:b/>
          <w:bCs/>
          <w:sz w:val="20"/>
          <w:szCs w:val="20"/>
        </w:rPr>
        <w:t>от</w:t>
      </w:r>
      <w:proofErr w:type="gramEnd"/>
      <w:r w:rsidRPr="00E652AE">
        <w:rPr>
          <w:rFonts w:ascii="Arial" w:hAnsi="Arial" w:cs="Arial"/>
          <w:b/>
          <w:bCs/>
          <w:sz w:val="20"/>
          <w:szCs w:val="20"/>
        </w:rPr>
        <w:t xml:space="preserve"> 2 декабря 2015 г. N 1399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ОБ УТВЕРЖДЕНИИ ПЛАНА МЕРОПРИЯТИЙ ("ДОРОЖНОЙ КАРТЫ")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МИНИСТЕРСТВА ОБРАЗОВАНИЯ И НАУКИ 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ПО ПОВЫШЕНИЮ ЗНАЧЕНИЙ ПОКАЗАТЕЛЕЙ ДОСТУПНОСТИ ДЛЯ ИНВАЛИДОВ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ОБЪЕКТОВ И ПРЕДОСТАВЛЯЕМЫХ НА НИХ УСЛУГ В СФЕРЕ ОБРАЗОВАНИЯ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В соответствии со </w:t>
      </w:r>
      <w:r w:rsidRPr="00E652AE">
        <w:rPr>
          <w:rFonts w:ascii="Arial" w:hAnsi="Arial" w:cs="Arial"/>
          <w:sz w:val="20"/>
          <w:szCs w:val="20"/>
        </w:rPr>
        <w:fldChar w:fldCharType="begin"/>
      </w:r>
      <w:r w:rsidRPr="00E652AE">
        <w:rPr>
          <w:rFonts w:ascii="Arial" w:hAnsi="Arial" w:cs="Arial"/>
          <w:sz w:val="20"/>
          <w:szCs w:val="20"/>
        </w:rPr>
        <w:instrText xml:space="preserve">HYPERLINK consultantplus://offline/ref=12EA77A7A1C6F759C36C7E0AEFF292CC76F889E4DD10D993D61796CA1381ED0F8915FCF217285E2BABO0K </w:instrText>
      </w:r>
      <w:r w:rsidRPr="00E652AE">
        <w:rPr>
          <w:rFonts w:ascii="Arial" w:hAnsi="Arial" w:cs="Arial"/>
          <w:sz w:val="20"/>
          <w:szCs w:val="20"/>
        </w:rPr>
      </w:r>
      <w:r w:rsidRPr="00E652AE">
        <w:rPr>
          <w:rFonts w:ascii="Arial" w:hAnsi="Arial" w:cs="Arial"/>
          <w:sz w:val="20"/>
          <w:szCs w:val="20"/>
        </w:rPr>
        <w:fldChar w:fldCharType="separate"/>
      </w:r>
      <w:r w:rsidRPr="00E652AE">
        <w:rPr>
          <w:rFonts w:ascii="Arial" w:hAnsi="Arial" w:cs="Arial"/>
          <w:color w:val="0000FF"/>
          <w:sz w:val="20"/>
          <w:szCs w:val="20"/>
        </w:rPr>
        <w:t>статьей 26</w:t>
      </w:r>
      <w:r w:rsidRPr="00E652AE">
        <w:rPr>
          <w:rFonts w:ascii="Arial" w:hAnsi="Arial" w:cs="Arial"/>
          <w:sz w:val="20"/>
          <w:szCs w:val="20"/>
        </w:rPr>
        <w:fldChar w:fldCharType="end"/>
      </w:r>
      <w:r w:rsidRPr="00E652AE">
        <w:rPr>
          <w:rFonts w:ascii="Arial" w:hAnsi="Arial" w:cs="Arial"/>
          <w:sz w:val="20"/>
          <w:szCs w:val="20"/>
        </w:rPr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</w:t>
      </w:r>
      <w:r w:rsidRPr="00E652AE">
        <w:rPr>
          <w:rFonts w:ascii="Arial" w:hAnsi="Arial" w:cs="Arial"/>
          <w:sz w:val="20"/>
          <w:szCs w:val="20"/>
        </w:rPr>
        <w:fldChar w:fldCharType="begin"/>
      </w:r>
      <w:r w:rsidRPr="00E652AE">
        <w:rPr>
          <w:rFonts w:ascii="Arial" w:hAnsi="Arial" w:cs="Arial"/>
          <w:sz w:val="20"/>
          <w:szCs w:val="20"/>
        </w:rPr>
        <w:instrText xml:space="preserve">HYPERLINK consultantplus://offline/ref=12EA77A7A1C6F759C36C7E0AEFF292CC76F989E3DD18D993D61796CA13A8O1K </w:instrText>
      </w:r>
      <w:r w:rsidRPr="00E652AE">
        <w:rPr>
          <w:rFonts w:ascii="Arial" w:hAnsi="Arial" w:cs="Arial"/>
          <w:sz w:val="20"/>
          <w:szCs w:val="20"/>
        </w:rPr>
      </w:r>
      <w:r w:rsidRPr="00E652AE">
        <w:rPr>
          <w:rFonts w:ascii="Arial" w:hAnsi="Arial" w:cs="Arial"/>
          <w:sz w:val="20"/>
          <w:szCs w:val="20"/>
        </w:rPr>
        <w:fldChar w:fldCharType="separate"/>
      </w:r>
      <w:r w:rsidRPr="00E652AE">
        <w:rPr>
          <w:rFonts w:ascii="Arial" w:hAnsi="Arial" w:cs="Arial"/>
          <w:color w:val="0000FF"/>
          <w:sz w:val="20"/>
          <w:szCs w:val="20"/>
        </w:rPr>
        <w:t>постановлением</w:t>
      </w:r>
      <w:r w:rsidRPr="00E652AE">
        <w:rPr>
          <w:rFonts w:ascii="Arial" w:hAnsi="Arial" w:cs="Arial"/>
          <w:sz w:val="20"/>
          <w:szCs w:val="20"/>
        </w:rPr>
        <w:fldChar w:fldCharType="end"/>
      </w:r>
      <w:r w:rsidRPr="00E652AE">
        <w:rPr>
          <w:rFonts w:ascii="Arial" w:hAnsi="Arial" w:cs="Arial"/>
          <w:sz w:val="20"/>
          <w:szCs w:val="20"/>
        </w:rPr>
        <w:t xml:space="preserve">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приказываю: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1. Утвердить прилагаемый </w:t>
      </w:r>
      <w:r w:rsidRPr="00E652AE">
        <w:rPr>
          <w:rFonts w:ascii="Arial" w:hAnsi="Arial" w:cs="Arial"/>
          <w:sz w:val="20"/>
          <w:szCs w:val="20"/>
        </w:rPr>
        <w:fldChar w:fldCharType="begin"/>
      </w:r>
      <w:r w:rsidRPr="00E652AE">
        <w:rPr>
          <w:rFonts w:ascii="Arial" w:hAnsi="Arial" w:cs="Arial"/>
          <w:sz w:val="20"/>
          <w:szCs w:val="20"/>
        </w:rPr>
        <w:instrText xml:space="preserve">HYPERLINK \l Par36  </w:instrText>
      </w:r>
      <w:r w:rsidRPr="00E652AE">
        <w:rPr>
          <w:rFonts w:ascii="Arial" w:hAnsi="Arial" w:cs="Arial"/>
          <w:sz w:val="20"/>
          <w:szCs w:val="20"/>
        </w:rPr>
      </w:r>
      <w:r w:rsidRPr="00E652AE">
        <w:rPr>
          <w:rFonts w:ascii="Arial" w:hAnsi="Arial" w:cs="Arial"/>
          <w:sz w:val="20"/>
          <w:szCs w:val="20"/>
        </w:rPr>
        <w:fldChar w:fldCharType="separate"/>
      </w:r>
      <w:r w:rsidRPr="00E652AE">
        <w:rPr>
          <w:rFonts w:ascii="Arial" w:hAnsi="Arial" w:cs="Arial"/>
          <w:color w:val="0000FF"/>
          <w:sz w:val="20"/>
          <w:szCs w:val="20"/>
        </w:rPr>
        <w:t>План</w:t>
      </w:r>
      <w:r w:rsidRPr="00E652AE">
        <w:rPr>
          <w:rFonts w:ascii="Arial" w:hAnsi="Arial" w:cs="Arial"/>
          <w:sz w:val="20"/>
          <w:szCs w:val="20"/>
        </w:rPr>
        <w:fldChar w:fldCharType="end"/>
      </w:r>
      <w:r w:rsidRPr="00E652AE">
        <w:rPr>
          <w:rFonts w:ascii="Arial" w:hAnsi="Arial" w:cs="Arial"/>
          <w:sz w:val="20"/>
          <w:szCs w:val="20"/>
        </w:rPr>
        <w:t xml:space="preserve"> мероприятий ("дорожную карту")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(далее - "дорожная карта").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Департаменту государственной политики в сфере защиты прав детей (</w:t>
      </w:r>
      <w:proofErr w:type="spellStart"/>
      <w:r w:rsidRPr="00E652AE">
        <w:rPr>
          <w:rFonts w:ascii="Arial" w:hAnsi="Arial" w:cs="Arial"/>
          <w:sz w:val="20"/>
          <w:szCs w:val="20"/>
        </w:rPr>
        <w:t>Сильянову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Е.А.), Департаменту государственной политики в сфере высшего образования (Соболеву А.Б.), Департаменту государственной политики в сфере подготовки рабочих кадров и ДПО (</w:t>
      </w:r>
      <w:proofErr w:type="spellStart"/>
      <w:r w:rsidRPr="00E652AE">
        <w:rPr>
          <w:rFonts w:ascii="Arial" w:hAnsi="Arial" w:cs="Arial"/>
          <w:sz w:val="20"/>
          <w:szCs w:val="20"/>
        </w:rPr>
        <w:t>Золотаревой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Н.М.), Департаменту государственной политики в сфере воспитания детей и молодежи (</w:t>
      </w:r>
      <w:proofErr w:type="spellStart"/>
      <w:r w:rsidRPr="00E652AE">
        <w:rPr>
          <w:rFonts w:ascii="Arial" w:hAnsi="Arial" w:cs="Arial"/>
          <w:sz w:val="20"/>
          <w:szCs w:val="20"/>
        </w:rPr>
        <w:t>Страдзе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А.Э.), Департаменту государственной политики в сфере общего образования (Зыряновой А.В.), Департаменту государственной службы, кадров и управления делами (</w:t>
      </w:r>
      <w:proofErr w:type="spellStart"/>
      <w:r w:rsidRPr="00E652AE">
        <w:rPr>
          <w:rFonts w:ascii="Arial" w:hAnsi="Arial" w:cs="Arial"/>
          <w:sz w:val="20"/>
          <w:szCs w:val="20"/>
        </w:rPr>
        <w:t>Голубовскому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В.Ю.), Департаменту управления сетью подведомственных организаций (Харченко А.И.), Департаменту информационной политики (Усачевой А.А) обеспечить выполнение мероприятий </w:t>
      </w:r>
      <w:r w:rsidRPr="00E652AE">
        <w:rPr>
          <w:rFonts w:ascii="Arial" w:hAnsi="Arial" w:cs="Arial"/>
          <w:sz w:val="20"/>
          <w:szCs w:val="20"/>
        </w:rPr>
        <w:fldChar w:fldCharType="begin"/>
      </w:r>
      <w:r w:rsidRPr="00E652AE">
        <w:rPr>
          <w:rFonts w:ascii="Arial" w:hAnsi="Arial" w:cs="Arial"/>
          <w:sz w:val="20"/>
          <w:szCs w:val="20"/>
        </w:rPr>
        <w:instrText xml:space="preserve">HYPERLINK \l Par36  </w:instrText>
      </w:r>
      <w:r w:rsidRPr="00E652AE">
        <w:rPr>
          <w:rFonts w:ascii="Arial" w:hAnsi="Arial" w:cs="Arial"/>
          <w:sz w:val="20"/>
          <w:szCs w:val="20"/>
        </w:rPr>
      </w:r>
      <w:r w:rsidRPr="00E652AE">
        <w:rPr>
          <w:rFonts w:ascii="Arial" w:hAnsi="Arial" w:cs="Arial"/>
          <w:sz w:val="20"/>
          <w:szCs w:val="20"/>
        </w:rPr>
        <w:fldChar w:fldCharType="separate"/>
      </w:r>
      <w:r w:rsidRPr="00E652AE">
        <w:rPr>
          <w:rFonts w:ascii="Arial" w:hAnsi="Arial" w:cs="Arial"/>
          <w:color w:val="0000FF"/>
          <w:sz w:val="20"/>
          <w:szCs w:val="20"/>
        </w:rPr>
        <w:t>"дорожной карты"</w:t>
      </w:r>
      <w:r w:rsidRPr="00E652AE">
        <w:rPr>
          <w:rFonts w:ascii="Arial" w:hAnsi="Arial" w:cs="Arial"/>
          <w:sz w:val="20"/>
          <w:szCs w:val="20"/>
        </w:rPr>
        <w:fldChar w:fldCharType="end"/>
      </w:r>
      <w:r w:rsidRPr="00E652AE">
        <w:rPr>
          <w:rFonts w:ascii="Arial" w:hAnsi="Arial" w:cs="Arial"/>
          <w:sz w:val="20"/>
          <w:szCs w:val="20"/>
        </w:rPr>
        <w:t>.</w:t>
      </w: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E652AE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E652AE">
        <w:rPr>
          <w:rFonts w:ascii="Arial" w:hAnsi="Arial" w:cs="Arial"/>
          <w:sz w:val="20"/>
          <w:szCs w:val="20"/>
        </w:rPr>
        <w:t>: примечание.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Нумерация пунктов дана в соответствии с официальным текстом документа.</w:t>
      </w: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Настоящий приказ вступает в силу с 1 января 2016 года.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E652AE">
        <w:rPr>
          <w:rFonts w:ascii="Arial" w:hAnsi="Arial" w:cs="Arial"/>
          <w:sz w:val="20"/>
          <w:szCs w:val="20"/>
        </w:rPr>
        <w:t>Каганова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В.Ш.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Министр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Д.В.ЛИВАНОВ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Приложение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Утвержден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приказом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Министерства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образования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и науки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от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2 декабря 2015 г. N 1399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36"/>
      <w:bookmarkEnd w:id="0"/>
      <w:r w:rsidRPr="00E652AE">
        <w:rPr>
          <w:rFonts w:ascii="Arial" w:hAnsi="Arial" w:cs="Arial"/>
          <w:sz w:val="20"/>
          <w:szCs w:val="20"/>
        </w:rPr>
        <w:t>ПЛАН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МЕРОПРИЯТИЙ ("ДОРОЖНАЯ КАРТА") МИНИСТЕРСТВА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ОБРАЗОВАНИЯ И НАУКИ РОССИЙСКОЙ ФЕДЕРАЦИИ ПО ПОВЫШЕНИЮ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ЗНАЧЕНИЙ ПОКАЗАТЕЛЕЙ ДОСТУПНОСТИ ДЛЯ ИНВАЛИДОВ ОБЪЕКТОВ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И ПРЕДОСТАВЛЯЕМЫХ НА НИХ УСЛУГ В СФЕРЕ ОБРАЗОВАНИЯ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I. Общие положения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1. План мероприятий ("дорожная карта")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направлен на обеспечение условий доступности для инвалидов объектов Министерства образования и науки Российской Федерации (далее -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России) и находящихся в его ведении образовательных организаций (далее - объекты).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Целью "дорожной карты" является поэтапное повышение с учетом финансовых возможностей уровня доступности для инвалидов объектов и предоставляемых на них услуг в сфере образования (далее - услуги).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3. "Дорожной картой" в соответствии с </w:t>
      </w:r>
      <w:hyperlink r:id="rId5" w:history="1">
        <w:r w:rsidRPr="00E652AE"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 w:rsidRPr="00E652AE">
        <w:rPr>
          <w:rFonts w:ascii="Arial" w:hAnsi="Arial" w:cs="Arial"/>
          <w:sz w:val="20"/>
          <w:szCs w:val="20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599, определяются: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цели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обеспечения доступности для инвалидов объектов и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значения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показателей доступности для инвалидов объектов и услуг (на период 2016 - 2030 годов);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перечень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мероприятий, реализуемых для достижения запланированных значений показателей доступности для инвалидов объектов и услуг.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4. Целями реализации "дорожной карты" являются: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создание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условий доступности для инвалидов объектов и услуг, а также оказание им при этом необходимой помощи в пределах полномочий, возложенных на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установление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показателей, позволяющих оценивать степень доступности для инвалидов объектов и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оснащение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объектов приспособлениями, средствами и источниками информации в доступной форме, позволяющими обеспечить доступность для инвалидов предоставляемых на них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создание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условий по исключению с 1 июля 2016 г. приемки вводимых с этой даты в эксплуатацию или прошедших реконструкцию объектов, не полностью приспособленных с учетом потребности инвалидов в соответствии с законодательством о социальной защите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проведение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паспортизации объектов и услуг,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5. Для достижения заявленных целей "дорожной картой" предусмотрен перечень мероприятий, реализуемых для достижения запланированных значений показателей доступности для инвалидов объектов и услуг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 реконструкцию объектов либо (в случае, когда существующие объекты, на которых предоставляются услуги, невозможно полностью приспособить с учетом потребностей инвалидов) обеспечения доступа инвалидов к месту предоставления услуги.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6. "Дорожной картой"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услугам, таких как: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наличие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объектов с низкой степенью доступности и полностью не доступных для инвалидов, в которых им предоставляются услуги;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наличие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объектов, которые невозможно до их реконструкции или капитального ремонта приспособить с учетом потребностей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отсутствие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или неполная оснащенность части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наличие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работников, предоставляющих услуги инвалидам, не прошедших инструктирование или обучение по вопросам, связанным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отсутствие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паспортов доступности объектов, содержащих решения об объеме и сроках проведения мероприятий по поэтапному созданию условий для беспрепятственного доступа к ним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отсутствие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в административных регламентах ряда государственных услуг, а также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lastRenderedPageBreak/>
        <w:t>"Дорожной картой" предусматривается проведение мероприятий по поэтапному повышению значений показателей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внесение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в нормативные правовые акты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 положений, обеспечивающих соблюдение установленных законодательством Российской Федерации условий доступности объектов и услуг для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организация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работы по обеспечению предоставления услуг инвалидам, в том числе альтернативными методами;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расширение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перечня оказываемых услуг, доступных для лиц с ограниченными возможностями, через информационно-телекоммуникационную сеть "Интернет".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7. Планируемое повышение значений показателей доступности объектов и услуг и сроки их достижения определены в "дорожной карте" исходя из норм: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Федерального </w:t>
      </w:r>
      <w:hyperlink r:id="rId6" w:history="1">
        <w:r w:rsidRPr="00E652AE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E652AE">
        <w:rPr>
          <w:rFonts w:ascii="Arial" w:hAnsi="Arial" w:cs="Arial"/>
          <w:sz w:val="20"/>
          <w:szCs w:val="20"/>
        </w:rPr>
        <w:t xml:space="preserve"> от 1 декабря 2014 г. N 384-ФЗ "О федеральном бюджете на 2015 год и на плановый период 2016 и 2017 годов";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Федерального </w:t>
      </w:r>
      <w:hyperlink r:id="rId7" w:history="1">
        <w:r w:rsidRPr="00E652AE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E652AE">
        <w:rPr>
          <w:rFonts w:ascii="Arial" w:hAnsi="Arial" w:cs="Arial"/>
          <w:sz w:val="20"/>
          <w:szCs w:val="20"/>
        </w:rP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proofErr w:type="gramStart"/>
        <w:r w:rsidRPr="00E652AE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  <w:proofErr w:type="gramEnd"/>
      </w:hyperlink>
      <w:r w:rsidRPr="00E652AE">
        <w:rPr>
          <w:rFonts w:ascii="Arial" w:hAnsi="Arial" w:cs="Arial"/>
          <w:sz w:val="20"/>
          <w:szCs w:val="20"/>
        </w:rP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proofErr w:type="gramStart"/>
        <w:r w:rsidRPr="00E652AE">
          <w:rPr>
            <w:rFonts w:ascii="Arial" w:hAnsi="Arial" w:cs="Arial"/>
            <w:color w:val="0000FF"/>
            <w:sz w:val="20"/>
            <w:szCs w:val="20"/>
          </w:rPr>
          <w:t>приказа</w:t>
        </w:r>
        <w:proofErr w:type="gramEnd"/>
      </w:hyperlink>
      <w:r w:rsidRPr="00E652AE">
        <w:rPr>
          <w:rFonts w:ascii="Arial" w:hAnsi="Arial" w:cs="Arial"/>
          <w:sz w:val="20"/>
          <w:szCs w:val="20"/>
        </w:rPr>
        <w:t xml:space="preserve"> Министерства регионального развития Российской Федерации от 27 декабря 2011 г. N 605 "Об утверждении свода правил "СНиП 35-01-2001 "Доступность зданий и сооружений для маломобильных групп населения" (СП 59.13330.2012)".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8. Основные ожидаемые результаты реализации "дорожной карты" - увеличение доли доступных для инвалидов объектов в их общем количестве с 10% в 2015 году до 15% в 2020 году и 20% в 2030 году.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  <w:sectPr w:rsidR="00E652AE" w:rsidRPr="00E652AE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II. Таблица повышения значений показателей доступности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для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инвалидов объектов и услуг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3720"/>
        <w:gridCol w:w="720"/>
        <w:gridCol w:w="708"/>
        <w:gridCol w:w="707"/>
        <w:gridCol w:w="709"/>
        <w:gridCol w:w="708"/>
        <w:gridCol w:w="708"/>
        <w:gridCol w:w="708"/>
        <w:gridCol w:w="708"/>
        <w:gridCol w:w="707"/>
        <w:gridCol w:w="3217"/>
      </w:tblGrid>
      <w:tr w:rsidR="00E652AE" w:rsidRPr="00E652AE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Значение показателей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Структурное подразделение,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E652AE" w:rsidRPr="00E652AE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введенных с 1 июля 2016 г. в эксплуатацию объектов (зданий, помещений), в которых предоставляются услуги,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существующих объектов, на которых до проведения капитального ремонта или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 на которых имеются: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выделенные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стоянки автотранспортных средств для инвалидов;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сменные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кресла-коляски;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адаптированные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лифты;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поручни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пандусы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подъемные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платформы (аппарели);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раздвижные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двери;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доступные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входные группы;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доступные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санитарно-гигиенические помещения;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достаточная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ширина дверных проемов в стенах, лестничных маршей, площадок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объектов с надлежащим размещением оборудования и носителей информации, необходимых для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имеющих утвержденные Паспорта доступности для инвалидов объекта и услуг, от общего количества объектов, на которых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услуг, предоставляемых с использованием русского жестового языка, с допуском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сурдопереводчика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тифлосурдопереводчика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>, от общего количества предоставляемых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Доля работников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и находящихся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образовательных организаций (далее - органы и организации), предоставляющих услуги, прошедших инструктирование или обучение для работы с инвалидами по вопросам, связанным с обеспечением доступности для инвалидов объектов и услуг в соответствии с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законодательством Российской Федерации и законодательством субъектов Российской Федерации, от общего числа работников, предоставляющих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службы, кадров и управления делами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услуг, предоставляемых инвалидам с сопровождением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тьютора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>, от общего количества предоставляемых инвалидам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услуг, предоставляемых инвалидам с сопровождением ассистента-помощника, от общего количества предоставляемых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органов и организаций, предоставляющих услуги, официальный сайт которых адаптирован для лиц с нарушением зрения (слабовидящих)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информационной политики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</w:tbl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III. Перечень мероприятий, реализуемых для достижения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запланированных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значений показателей доступности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>для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инвалидов объектов и услуг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763"/>
        <w:gridCol w:w="2520"/>
        <w:gridCol w:w="2760"/>
        <w:gridCol w:w="1920"/>
        <w:gridCol w:w="2760"/>
      </w:tblGrid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Срок реализации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Проведение паспортизации объектов и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от 9 ноября 2015 г. N 1309 "Об утверждении Порядка обеспечения условий доступности для инвалидов объектов и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предоставляемых услуг в сфере образования, а также оказания им при этом необходимой помощи" (зарегистрирован Минюстом России 8 декабря 2015 г., регистрационный N 40 000) (далее - приказ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 квартал 2016 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Утверждение паспортов доступности объектов и услуг, предусмотренных </w:t>
            </w:r>
            <w:hyperlink r:id="rId11" w:history="1">
              <w:r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России, определение объемов работ по обеспечению условий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доступности и их финансирования, уточнение базовых значений показателей и сроков выполнения мероприятий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Реализация мер по обеспечению доступности объектов, которые невозможно полностью приспособить до реконструкции (капитального ремонта), и предоставляемых на них услуг (с учетом результатов паспортизации)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proofErr w:type="gramStart"/>
              <w:r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  <w:proofErr w:type="gramEnd"/>
            </w:hyperlink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2016 - 2018 гг.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срок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будет уточнен с учетом результатов паспортизации)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Увеличение доли объектов, на которых обеспечен доступ к местам оказания услуг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Организация обучения или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proofErr w:type="gramStart"/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652AE">
              <w:rPr>
                <w:rFonts w:ascii="Arial" w:hAnsi="Arial" w:cs="Arial"/>
                <w:sz w:val="20"/>
                <w:szCs w:val="20"/>
              </w:rPr>
              <w:instrText xml:space="preserve">HYPERLINK consultantplus://offline/ref=12EA77A7A1C6F759C36C7E0AEFF292CC76F888E3D818D993D61796CA13A8O1K </w:instrText>
            </w:r>
            <w:r w:rsidRPr="00E652AE">
              <w:rPr>
                <w:rFonts w:ascii="Arial" w:hAnsi="Arial" w:cs="Arial"/>
                <w:sz w:val="20"/>
                <w:szCs w:val="20"/>
              </w:rPr>
            </w:r>
            <w:r w:rsidRPr="00E652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52AE">
              <w:rPr>
                <w:rFonts w:ascii="Arial" w:hAnsi="Arial" w:cs="Arial"/>
                <w:color w:val="0000FF"/>
                <w:sz w:val="20"/>
                <w:szCs w:val="20"/>
              </w:rPr>
              <w:t>приказ</w:t>
            </w:r>
            <w:r w:rsidRPr="00E652AE">
              <w:rPr>
                <w:rFonts w:ascii="Arial" w:hAnsi="Arial" w:cs="Arial"/>
                <w:sz w:val="20"/>
                <w:szCs w:val="20"/>
              </w:rPr>
              <w:fldChar w:fldCharType="end"/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службы, кадров и управления делами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2016 - 2018 гг.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Увеличение доли специалистов, прошедших обучение или инструктирование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Проведение анализа административных регламентов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по предоставлению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государственных услуг на предмет наличия и достаточности в них положений об обеспечении доступности государственной услуги для инвалидов и в случае необходимости внесение в административные регламенты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необходимых изменений</w:t>
            </w:r>
          </w:p>
        </w:tc>
        <w:proofErr w:type="gramStart"/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 w:rsidRPr="00E652AE">
              <w:rPr>
                <w:rFonts w:ascii="Arial" w:hAnsi="Arial" w:cs="Arial"/>
                <w:sz w:val="20"/>
                <w:szCs w:val="20"/>
              </w:rPr>
              <w:instrText xml:space="preserve">HYPERLINK consultantplus://offline/ref=12EA77A7A1C6F759C36C7E0AEFF292CC76F888E3D818D993D61796CA13A8O1K </w:instrText>
            </w:r>
            <w:r w:rsidRPr="00E652AE">
              <w:rPr>
                <w:rFonts w:ascii="Arial" w:hAnsi="Arial" w:cs="Arial"/>
                <w:sz w:val="20"/>
                <w:szCs w:val="20"/>
              </w:rPr>
            </w:r>
            <w:r w:rsidRPr="00E652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52AE">
              <w:rPr>
                <w:rFonts w:ascii="Arial" w:hAnsi="Arial" w:cs="Arial"/>
                <w:color w:val="0000FF"/>
                <w:sz w:val="20"/>
                <w:szCs w:val="20"/>
              </w:rPr>
              <w:t>приказ</w:t>
            </w:r>
            <w:r w:rsidRPr="00E652AE">
              <w:rPr>
                <w:rFonts w:ascii="Arial" w:hAnsi="Arial" w:cs="Arial"/>
                <w:sz w:val="20"/>
                <w:szCs w:val="20"/>
              </w:rPr>
              <w:fldChar w:fldCharType="end"/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Заинтересованные структурные подразделения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3 - 4 кварталы 2016 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Наличие в административных регламентах по предоставлению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услуг населению положений, предусматривающих обеспечение установленных федеральным законодательством условий доступности объектов и услуг для инвалидов</w:t>
            </w:r>
          </w:p>
        </w:tc>
      </w:tr>
    </w:tbl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21494" w:rsidRDefault="00E21494">
      <w:bookmarkStart w:id="1" w:name="_GoBack"/>
      <w:bookmarkEnd w:id="1"/>
    </w:p>
    <w:sectPr w:rsidR="00E21494" w:rsidSect="00463E44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0F"/>
    <w:rsid w:val="008F1D0F"/>
    <w:rsid w:val="00E21494"/>
    <w:rsid w:val="00E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F8804-6E37-4413-AE14-CE585CC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A77A7A1C6F759C36C7E0AEFF292CC76F98FE7D014D993D61796CA13A8O1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A77A7A1C6F759C36C7E0AEFF292CC76F889E4DD10D993D61796CA13A8O1K" TargetMode="External"/><Relationship Id="rId12" Type="http://schemas.openxmlformats.org/officeDocument/2006/relationships/hyperlink" Target="consultantplus://offline/ref=12EA77A7A1C6F759C36C7E0AEFF292CC76F888E3D818D993D61796CA13A8O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A77A7A1C6F759C36C7E0AEFF292CC76F981E6DD12D993D61796CA13A8O1K" TargetMode="External"/><Relationship Id="rId11" Type="http://schemas.openxmlformats.org/officeDocument/2006/relationships/hyperlink" Target="consultantplus://offline/ref=12EA77A7A1C6F759C36C7E0AEFF292CC76F888E3D818D993D61796CA13A8O1K" TargetMode="External"/><Relationship Id="rId5" Type="http://schemas.openxmlformats.org/officeDocument/2006/relationships/hyperlink" Target="consultantplus://offline/ref=12EA77A7A1C6F759C36C7E0AEFF292CC76F989E3DD18D993D61796CA1381ED0F8915FCF217285C2DABO6K" TargetMode="External"/><Relationship Id="rId10" Type="http://schemas.openxmlformats.org/officeDocument/2006/relationships/hyperlink" Target="consultantplus://offline/ref=12EA77A7A1C6F759C36C7E0AEFF292CC76F888E3D818D993D61796CA13A8O1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2EA77A7A1C6F759C36C7713E8F292CC72F581E9DA11D993D61796CA13A8O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3460</Words>
  <Characters>19728</Characters>
  <Application>Microsoft Office Word</Application>
  <DocSecurity>0</DocSecurity>
  <Lines>164</Lines>
  <Paragraphs>46</Paragraphs>
  <ScaleCrop>false</ScaleCrop>
  <Company/>
  <LinksUpToDate>false</LinksUpToDate>
  <CharactersWithSpaces>23142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2</cp:revision>
  <dcterms:created xsi:type="dcterms:W3CDTF">2016-08-24T10:14:00Z</dcterms:created>
  <dcterms:modified xsi:type="dcterms:W3CDTF">2016-08-24T10:14:00Z</dcterms:modified>
</cp:coreProperties>
</file>